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ABF7E" w14:textId="77777777" w:rsidR="00F87FF2" w:rsidRDefault="00821763" w:rsidP="00712266">
      <w:pPr>
        <w:pStyle w:val="Title"/>
        <w:jc w:val="center"/>
      </w:pPr>
      <w:r>
        <w:t xml:space="preserve">Town of </w:t>
      </w:r>
      <w:r w:rsidR="00C82BB4">
        <w:t>Brookfield</w:t>
      </w:r>
      <w:r>
        <w:t>, New Hampshire</w:t>
      </w:r>
    </w:p>
    <w:p w14:paraId="5EF1024A" w14:textId="77777777" w:rsidR="007C3FEA" w:rsidRPr="00F87FF2" w:rsidRDefault="00974BE1" w:rsidP="00712266">
      <w:pPr>
        <w:pStyle w:val="Title"/>
        <w:jc w:val="center"/>
      </w:pPr>
      <w:r w:rsidRPr="00F87FF2">
        <w:t>Trustees of Trust Funds</w:t>
      </w:r>
    </w:p>
    <w:p w14:paraId="5EF1AF97" w14:textId="77777777" w:rsidR="00974BE1" w:rsidRDefault="00974BE1" w:rsidP="00712266">
      <w:pPr>
        <w:pStyle w:val="Heading1"/>
        <w:jc w:val="center"/>
      </w:pPr>
      <w:r w:rsidRPr="00F87FF2">
        <w:t>Investment Policy Statement</w:t>
      </w:r>
    </w:p>
    <w:p w14:paraId="78EA2478" w14:textId="0883BE44" w:rsidR="00712266" w:rsidRPr="00712266" w:rsidRDefault="00926CE7" w:rsidP="00712266">
      <w:pPr>
        <w:jc w:val="center"/>
        <w:rPr>
          <w:color w:val="1F497D" w:themeColor="text2"/>
        </w:rPr>
      </w:pPr>
      <w:r>
        <w:rPr>
          <w:color w:val="1F497D" w:themeColor="text2"/>
        </w:rPr>
        <w:t>February 14, 2019</w:t>
      </w:r>
    </w:p>
    <w:p w14:paraId="49861005" w14:textId="77777777" w:rsidR="00974BE1" w:rsidRDefault="00974BE1" w:rsidP="00974BE1"/>
    <w:p w14:paraId="3721768B" w14:textId="77777777" w:rsidR="00974BE1" w:rsidRPr="00507135" w:rsidRDefault="00974BE1" w:rsidP="00974BE1">
      <w:pPr>
        <w:rPr>
          <w:b/>
          <w:sz w:val="24"/>
          <w:szCs w:val="24"/>
        </w:rPr>
      </w:pPr>
      <w:r w:rsidRPr="00507135">
        <w:rPr>
          <w:b/>
          <w:sz w:val="24"/>
          <w:szCs w:val="24"/>
        </w:rPr>
        <w:t>Objective:</w:t>
      </w:r>
      <w:r w:rsidRPr="00507135">
        <w:rPr>
          <w:b/>
          <w:sz w:val="24"/>
          <w:szCs w:val="24"/>
        </w:rPr>
        <w:tab/>
      </w:r>
    </w:p>
    <w:p w14:paraId="19CD8D76" w14:textId="77777777" w:rsidR="00974BE1" w:rsidRPr="00507135" w:rsidRDefault="00974BE1" w:rsidP="00974BE1">
      <w:pPr>
        <w:pStyle w:val="ListParagraph"/>
        <w:rPr>
          <w:sz w:val="24"/>
          <w:szCs w:val="24"/>
        </w:rPr>
      </w:pPr>
      <w:r w:rsidRPr="00507135">
        <w:rPr>
          <w:sz w:val="24"/>
          <w:szCs w:val="24"/>
        </w:rPr>
        <w:t xml:space="preserve">The assets of the portfolio are to be invested for the benefit of the </w:t>
      </w:r>
      <w:r w:rsidR="00821763" w:rsidRPr="00507135">
        <w:rPr>
          <w:rStyle w:val="IntenseReference"/>
          <w:sz w:val="24"/>
          <w:szCs w:val="24"/>
        </w:rPr>
        <w:t xml:space="preserve">Town of </w:t>
      </w:r>
      <w:r w:rsidR="00124CA3">
        <w:rPr>
          <w:rStyle w:val="IntenseReference"/>
          <w:sz w:val="24"/>
          <w:szCs w:val="24"/>
        </w:rPr>
        <w:t>Brookfield</w:t>
      </w:r>
      <w:r w:rsidRPr="00507135">
        <w:rPr>
          <w:sz w:val="24"/>
          <w:szCs w:val="24"/>
        </w:rPr>
        <w:t xml:space="preserve"> to maintain or increase the purchasing power of the funds principal and income over the long term.</w:t>
      </w:r>
      <w:r w:rsidR="00821763" w:rsidRPr="00507135">
        <w:rPr>
          <w:sz w:val="24"/>
          <w:szCs w:val="24"/>
        </w:rPr>
        <w:t xml:space="preserve">  </w:t>
      </w:r>
    </w:p>
    <w:p w14:paraId="7DB8AEF8" w14:textId="77777777" w:rsidR="00507135" w:rsidRPr="00507135" w:rsidRDefault="00507135" w:rsidP="00974BE1">
      <w:pPr>
        <w:pStyle w:val="ListParagraph"/>
        <w:rPr>
          <w:sz w:val="24"/>
          <w:szCs w:val="24"/>
        </w:rPr>
      </w:pPr>
    </w:p>
    <w:p w14:paraId="311D6EC2" w14:textId="77777777" w:rsidR="00974BE1" w:rsidRPr="00507135" w:rsidRDefault="00974BE1" w:rsidP="00974BE1">
      <w:pPr>
        <w:pStyle w:val="ListParagraph"/>
        <w:rPr>
          <w:sz w:val="24"/>
          <w:szCs w:val="24"/>
        </w:rPr>
      </w:pPr>
    </w:p>
    <w:p w14:paraId="512EDC52" w14:textId="77777777" w:rsidR="001B56AE" w:rsidRPr="00507135" w:rsidRDefault="001B56AE" w:rsidP="001B56AE">
      <w:pPr>
        <w:pStyle w:val="ListParagraph"/>
        <w:numPr>
          <w:ilvl w:val="0"/>
          <w:numId w:val="2"/>
        </w:numPr>
        <w:rPr>
          <w:b/>
          <w:sz w:val="24"/>
          <w:szCs w:val="24"/>
        </w:rPr>
      </w:pPr>
      <w:r w:rsidRPr="00507135">
        <w:rPr>
          <w:b/>
          <w:sz w:val="24"/>
          <w:szCs w:val="24"/>
        </w:rPr>
        <w:t>Investment policy:</w:t>
      </w:r>
      <w:r w:rsidRPr="00507135">
        <w:rPr>
          <w:b/>
          <w:sz w:val="24"/>
          <w:szCs w:val="24"/>
        </w:rPr>
        <w:tab/>
      </w:r>
    </w:p>
    <w:p w14:paraId="0DC71972" w14:textId="77777777" w:rsidR="001B56AE" w:rsidRPr="00507135" w:rsidRDefault="001B56AE" w:rsidP="001B56AE">
      <w:pPr>
        <w:pStyle w:val="ListParagraph"/>
        <w:rPr>
          <w:sz w:val="24"/>
          <w:szCs w:val="24"/>
        </w:rPr>
      </w:pPr>
      <w:r w:rsidRPr="00507135">
        <w:rPr>
          <w:sz w:val="24"/>
          <w:szCs w:val="24"/>
        </w:rPr>
        <w:t xml:space="preserve">The Trustees of Trust Funds of the </w:t>
      </w:r>
      <w:r w:rsidR="00821763" w:rsidRPr="00507135">
        <w:rPr>
          <w:rStyle w:val="IntenseReference"/>
          <w:sz w:val="24"/>
          <w:szCs w:val="24"/>
        </w:rPr>
        <w:t xml:space="preserve">Town of </w:t>
      </w:r>
      <w:r w:rsidR="00124CA3">
        <w:rPr>
          <w:rStyle w:val="IntenseReference"/>
          <w:sz w:val="24"/>
          <w:szCs w:val="24"/>
        </w:rPr>
        <w:t>Brookfield</w:t>
      </w:r>
      <w:r w:rsidRPr="00507135">
        <w:rPr>
          <w:sz w:val="24"/>
          <w:szCs w:val="24"/>
        </w:rPr>
        <w:t xml:space="preserve"> shall select asset classifications, presently limited to domestic and international common stock, preferred stock, U.S. government and corporate bonds, mutual funds, exchange traded funds, and cash equivalents.  The Investment Manager will maximize the long-term total return of the portfolio consistent with the level of risk defined herein and the current needs of the </w:t>
      </w:r>
      <w:r w:rsidR="00F87FF2" w:rsidRPr="00507135">
        <w:rPr>
          <w:rStyle w:val="IntenseReference"/>
          <w:sz w:val="24"/>
          <w:szCs w:val="24"/>
        </w:rPr>
        <w:t>T</w:t>
      </w:r>
      <w:r w:rsidR="00821763" w:rsidRPr="00507135">
        <w:rPr>
          <w:rStyle w:val="IntenseReference"/>
          <w:sz w:val="24"/>
          <w:szCs w:val="24"/>
        </w:rPr>
        <w:t xml:space="preserve">own of </w:t>
      </w:r>
      <w:r w:rsidR="00124CA3">
        <w:rPr>
          <w:rStyle w:val="IntenseReference"/>
          <w:sz w:val="24"/>
          <w:szCs w:val="24"/>
        </w:rPr>
        <w:t>Brookfield</w:t>
      </w:r>
      <w:r w:rsidRPr="00507135">
        <w:rPr>
          <w:sz w:val="24"/>
          <w:szCs w:val="24"/>
        </w:rPr>
        <w:t>.</w:t>
      </w:r>
    </w:p>
    <w:p w14:paraId="2A27F438" w14:textId="77777777" w:rsidR="001B56AE" w:rsidRPr="00507135" w:rsidRDefault="001B56AE" w:rsidP="001B56AE">
      <w:pPr>
        <w:pStyle w:val="ListParagraph"/>
        <w:numPr>
          <w:ilvl w:val="1"/>
          <w:numId w:val="2"/>
        </w:numPr>
        <w:rPr>
          <w:sz w:val="24"/>
          <w:szCs w:val="24"/>
        </w:rPr>
      </w:pPr>
      <w:r w:rsidRPr="00507135">
        <w:rPr>
          <w:sz w:val="24"/>
          <w:szCs w:val="24"/>
        </w:rPr>
        <w:t xml:space="preserve">In accordance with this policy, the </w:t>
      </w:r>
      <w:r w:rsidR="001122BF" w:rsidRPr="00507135">
        <w:rPr>
          <w:sz w:val="24"/>
          <w:szCs w:val="24"/>
        </w:rPr>
        <w:t>Trustees</w:t>
      </w:r>
      <w:r w:rsidRPr="00507135">
        <w:rPr>
          <w:sz w:val="24"/>
          <w:szCs w:val="24"/>
        </w:rPr>
        <w:t xml:space="preserve"> shall periodically:</w:t>
      </w:r>
    </w:p>
    <w:p w14:paraId="59D0DEF6" w14:textId="77777777" w:rsidR="001B56AE" w:rsidRPr="00507135" w:rsidRDefault="001B56AE" w:rsidP="001B56AE">
      <w:pPr>
        <w:pStyle w:val="ListParagraph"/>
        <w:numPr>
          <w:ilvl w:val="2"/>
          <w:numId w:val="2"/>
        </w:numPr>
        <w:rPr>
          <w:sz w:val="24"/>
          <w:szCs w:val="24"/>
        </w:rPr>
      </w:pPr>
      <w:r w:rsidRPr="00507135">
        <w:rPr>
          <w:sz w:val="24"/>
          <w:szCs w:val="24"/>
        </w:rPr>
        <w:t>Review the acceptability of various asset categories</w:t>
      </w:r>
    </w:p>
    <w:p w14:paraId="3D065C4F" w14:textId="77777777" w:rsidR="001B56AE" w:rsidRPr="00507135" w:rsidRDefault="001B56AE" w:rsidP="001B56AE">
      <w:pPr>
        <w:pStyle w:val="ListParagraph"/>
        <w:numPr>
          <w:ilvl w:val="2"/>
          <w:numId w:val="2"/>
        </w:numPr>
        <w:rPr>
          <w:sz w:val="24"/>
          <w:szCs w:val="24"/>
        </w:rPr>
      </w:pPr>
      <w:r w:rsidRPr="00507135">
        <w:rPr>
          <w:sz w:val="24"/>
          <w:szCs w:val="24"/>
        </w:rPr>
        <w:t>Set guidelines for the percentage of various asset categories</w:t>
      </w:r>
    </w:p>
    <w:p w14:paraId="38100D7A" w14:textId="77777777" w:rsidR="001B56AE" w:rsidRPr="00507135" w:rsidRDefault="001B56AE" w:rsidP="001B56AE">
      <w:pPr>
        <w:pStyle w:val="ListParagraph"/>
        <w:numPr>
          <w:ilvl w:val="2"/>
          <w:numId w:val="2"/>
        </w:numPr>
        <w:rPr>
          <w:sz w:val="24"/>
          <w:szCs w:val="24"/>
        </w:rPr>
      </w:pPr>
      <w:r w:rsidRPr="00507135">
        <w:rPr>
          <w:sz w:val="24"/>
          <w:szCs w:val="24"/>
        </w:rPr>
        <w:t>Monitor Investment Manager performance.</w:t>
      </w:r>
    </w:p>
    <w:p w14:paraId="5AE1E5CC" w14:textId="77777777" w:rsidR="000F7657" w:rsidRPr="00507135" w:rsidRDefault="001B56AE" w:rsidP="000F7657">
      <w:pPr>
        <w:pStyle w:val="ListParagraph"/>
        <w:numPr>
          <w:ilvl w:val="2"/>
          <w:numId w:val="2"/>
        </w:numPr>
        <w:rPr>
          <w:sz w:val="24"/>
          <w:szCs w:val="24"/>
        </w:rPr>
      </w:pPr>
      <w:r w:rsidRPr="00507135">
        <w:rPr>
          <w:sz w:val="24"/>
          <w:szCs w:val="24"/>
        </w:rPr>
        <w:t>Establish</w:t>
      </w:r>
      <w:r w:rsidR="000F7657" w:rsidRPr="00507135">
        <w:rPr>
          <w:sz w:val="24"/>
          <w:szCs w:val="24"/>
        </w:rPr>
        <w:t xml:space="preserve"> specific goals.</w:t>
      </w:r>
    </w:p>
    <w:p w14:paraId="2739B334" w14:textId="77777777" w:rsidR="000F7657" w:rsidRPr="00507135" w:rsidRDefault="000F7657" w:rsidP="000F7657">
      <w:pPr>
        <w:pStyle w:val="ListParagraph"/>
        <w:numPr>
          <w:ilvl w:val="1"/>
          <w:numId w:val="2"/>
        </w:numPr>
        <w:rPr>
          <w:sz w:val="24"/>
          <w:szCs w:val="24"/>
        </w:rPr>
      </w:pPr>
      <w:r w:rsidRPr="00507135">
        <w:rPr>
          <w:sz w:val="24"/>
          <w:szCs w:val="24"/>
        </w:rPr>
        <w:t xml:space="preserve">The Investment Manager will purchase and sell securities subject to the Prudent Investor Rule </w:t>
      </w:r>
      <w:r w:rsidR="00821763" w:rsidRPr="00507135">
        <w:rPr>
          <w:sz w:val="24"/>
          <w:szCs w:val="24"/>
        </w:rPr>
        <w:t xml:space="preserve">as stated in [RSA 31:25-d] </w:t>
      </w:r>
      <w:r w:rsidRPr="00507135">
        <w:rPr>
          <w:sz w:val="24"/>
          <w:szCs w:val="24"/>
        </w:rPr>
        <w:t>and shall invest in accordance with federal and state regulations.  The Investment Manager shall use judgment in the selection of brokers/dealers and in commissions paid.</w:t>
      </w:r>
    </w:p>
    <w:p w14:paraId="6B9CA189" w14:textId="77777777" w:rsidR="00F87FF2" w:rsidRPr="00507135" w:rsidRDefault="00F87FF2" w:rsidP="000F7657">
      <w:pPr>
        <w:pStyle w:val="ListParagraph"/>
        <w:numPr>
          <w:ilvl w:val="1"/>
          <w:numId w:val="2"/>
        </w:numPr>
        <w:rPr>
          <w:sz w:val="24"/>
          <w:szCs w:val="24"/>
        </w:rPr>
      </w:pPr>
      <w:r w:rsidRPr="00507135">
        <w:rPr>
          <w:sz w:val="24"/>
          <w:szCs w:val="24"/>
        </w:rPr>
        <w:t>The portfolio should be balanced among cash (to provide liquidity)</w:t>
      </w:r>
      <w:r w:rsidR="006A1D06" w:rsidRPr="00507135">
        <w:rPr>
          <w:sz w:val="24"/>
          <w:szCs w:val="24"/>
        </w:rPr>
        <w:t>,</w:t>
      </w:r>
      <w:r w:rsidRPr="00507135">
        <w:rPr>
          <w:sz w:val="24"/>
          <w:szCs w:val="24"/>
        </w:rPr>
        <w:t xml:space="preserve"> fixed dollar assets (to deliver stable income) and equities (to help offset the declining purchasing power of inflation).</w:t>
      </w:r>
    </w:p>
    <w:p w14:paraId="72EE0831" w14:textId="77777777" w:rsidR="00507135" w:rsidRDefault="00507135" w:rsidP="00507135">
      <w:pPr>
        <w:pStyle w:val="ListParagraph"/>
        <w:ind w:left="1440"/>
        <w:rPr>
          <w:sz w:val="24"/>
          <w:szCs w:val="24"/>
        </w:rPr>
      </w:pPr>
    </w:p>
    <w:p w14:paraId="30BD30B8" w14:textId="77777777" w:rsidR="00507135" w:rsidRPr="00507135" w:rsidRDefault="00507135" w:rsidP="00507135">
      <w:pPr>
        <w:pStyle w:val="ListParagraph"/>
        <w:ind w:left="1440"/>
        <w:rPr>
          <w:sz w:val="24"/>
          <w:szCs w:val="24"/>
        </w:rPr>
      </w:pPr>
    </w:p>
    <w:p w14:paraId="6502D27E" w14:textId="77777777" w:rsidR="00A37EB2" w:rsidRPr="00507135" w:rsidRDefault="00A37EB2" w:rsidP="00A37EB2">
      <w:pPr>
        <w:pStyle w:val="ListParagraph"/>
        <w:ind w:left="1440"/>
        <w:rPr>
          <w:sz w:val="24"/>
          <w:szCs w:val="24"/>
        </w:rPr>
      </w:pPr>
    </w:p>
    <w:p w14:paraId="385208D6" w14:textId="77777777" w:rsidR="000F7657" w:rsidRPr="00507135" w:rsidRDefault="000F7657" w:rsidP="000F7657">
      <w:pPr>
        <w:pStyle w:val="ListParagraph"/>
        <w:numPr>
          <w:ilvl w:val="0"/>
          <w:numId w:val="2"/>
        </w:numPr>
        <w:rPr>
          <w:b/>
          <w:sz w:val="24"/>
          <w:szCs w:val="24"/>
        </w:rPr>
      </w:pPr>
      <w:r w:rsidRPr="00507135">
        <w:rPr>
          <w:b/>
          <w:sz w:val="24"/>
          <w:szCs w:val="24"/>
        </w:rPr>
        <w:lastRenderedPageBreak/>
        <w:t>Investment Goals:</w:t>
      </w:r>
    </w:p>
    <w:p w14:paraId="6356A771" w14:textId="32155B52" w:rsidR="00A37EB2" w:rsidRPr="00926CE7" w:rsidRDefault="006A1D06" w:rsidP="00926CE7">
      <w:pPr>
        <w:pStyle w:val="ListParagraph"/>
        <w:rPr>
          <w:sz w:val="24"/>
          <w:szCs w:val="24"/>
        </w:rPr>
      </w:pPr>
      <w:r w:rsidRPr="00507135">
        <w:rPr>
          <w:sz w:val="24"/>
          <w:szCs w:val="24"/>
        </w:rPr>
        <w:t xml:space="preserve">Since these funds are held in perpetuity, the goal of the Trustees is to achieve a combination of prudent growth accompanied by income to meet the needs of the trusts as so stated.  To that end the Trustees have hired a professional investment manager, Charter Trust Company, and will invest the portfolio(s) in accordance with the Prudent Investor Rule as so stated in </w:t>
      </w:r>
      <w:r w:rsidR="00B372FF">
        <w:rPr>
          <w:sz w:val="24"/>
          <w:szCs w:val="24"/>
        </w:rPr>
        <w:t>[</w:t>
      </w:r>
      <w:r w:rsidRPr="00507135">
        <w:rPr>
          <w:sz w:val="24"/>
          <w:szCs w:val="24"/>
        </w:rPr>
        <w:t>RSA 31:25-d</w:t>
      </w:r>
      <w:r w:rsidR="00B372FF">
        <w:rPr>
          <w:sz w:val="24"/>
          <w:szCs w:val="24"/>
        </w:rPr>
        <w:t>]</w:t>
      </w:r>
      <w:r w:rsidRPr="00507135">
        <w:rPr>
          <w:sz w:val="24"/>
          <w:szCs w:val="24"/>
        </w:rPr>
        <w:t xml:space="preserve">.  </w:t>
      </w:r>
      <w:r w:rsidR="00F578B0" w:rsidRPr="00507135">
        <w:rPr>
          <w:sz w:val="24"/>
          <w:szCs w:val="24"/>
        </w:rPr>
        <w:t xml:space="preserve">The </w:t>
      </w:r>
      <w:r w:rsidR="001122BF" w:rsidRPr="00507135">
        <w:rPr>
          <w:sz w:val="24"/>
          <w:szCs w:val="24"/>
        </w:rPr>
        <w:t>Trustees expect the assets to be managed for the long term results.  They neither expect nor encourage high turnover, nor emphasis on the short term.</w:t>
      </w:r>
    </w:p>
    <w:p w14:paraId="0E627864" w14:textId="77777777" w:rsidR="00712266" w:rsidRPr="00507135" w:rsidRDefault="00712266" w:rsidP="00712266">
      <w:pPr>
        <w:pStyle w:val="ListParagraph"/>
        <w:rPr>
          <w:b/>
          <w:sz w:val="24"/>
          <w:szCs w:val="24"/>
        </w:rPr>
      </w:pPr>
    </w:p>
    <w:p w14:paraId="72B13BBD" w14:textId="77777777" w:rsidR="000F7657" w:rsidRPr="00507135" w:rsidRDefault="000F7657" w:rsidP="000F7657">
      <w:pPr>
        <w:pStyle w:val="ListParagraph"/>
        <w:numPr>
          <w:ilvl w:val="0"/>
          <w:numId w:val="2"/>
        </w:numPr>
        <w:rPr>
          <w:b/>
          <w:sz w:val="24"/>
          <w:szCs w:val="24"/>
        </w:rPr>
      </w:pPr>
      <w:r w:rsidRPr="00507135">
        <w:rPr>
          <w:b/>
          <w:sz w:val="24"/>
          <w:szCs w:val="24"/>
        </w:rPr>
        <w:t>Guidelines – Equities:</w:t>
      </w:r>
    </w:p>
    <w:p w14:paraId="144DB055" w14:textId="77777777" w:rsidR="000F7657" w:rsidRPr="00507135" w:rsidRDefault="000F7657" w:rsidP="000F7657">
      <w:pPr>
        <w:pStyle w:val="ListParagraph"/>
        <w:numPr>
          <w:ilvl w:val="1"/>
          <w:numId w:val="2"/>
        </w:numPr>
        <w:rPr>
          <w:b/>
          <w:sz w:val="24"/>
          <w:szCs w:val="24"/>
        </w:rPr>
      </w:pPr>
      <w:r w:rsidRPr="00507135">
        <w:rPr>
          <w:b/>
          <w:sz w:val="24"/>
          <w:szCs w:val="24"/>
        </w:rPr>
        <w:t xml:space="preserve">The percentage of the portfolio in common and convertible preferred stock shall not exceed </w:t>
      </w:r>
      <w:r w:rsidR="00C82BB4">
        <w:rPr>
          <w:b/>
          <w:sz w:val="28"/>
          <w:szCs w:val="24"/>
        </w:rPr>
        <w:t>45</w:t>
      </w:r>
      <w:r w:rsidRPr="00507135">
        <w:rPr>
          <w:b/>
          <w:sz w:val="28"/>
          <w:szCs w:val="24"/>
        </w:rPr>
        <w:t xml:space="preserve">% </w:t>
      </w:r>
      <w:r w:rsidRPr="00507135">
        <w:rPr>
          <w:b/>
          <w:sz w:val="24"/>
          <w:szCs w:val="24"/>
        </w:rPr>
        <w:t xml:space="preserve">nor fall below </w:t>
      </w:r>
      <w:r w:rsidR="00C82BB4">
        <w:rPr>
          <w:b/>
          <w:sz w:val="28"/>
          <w:szCs w:val="24"/>
        </w:rPr>
        <w:t>15</w:t>
      </w:r>
      <w:r w:rsidRPr="00507135">
        <w:rPr>
          <w:b/>
          <w:sz w:val="28"/>
          <w:szCs w:val="24"/>
        </w:rPr>
        <w:t xml:space="preserve">% </w:t>
      </w:r>
      <w:r w:rsidRPr="00507135">
        <w:rPr>
          <w:b/>
          <w:sz w:val="24"/>
          <w:szCs w:val="24"/>
        </w:rPr>
        <w:t xml:space="preserve">of the total market value of the portfolio.  </w:t>
      </w:r>
      <w:r w:rsidRPr="00507135">
        <w:rPr>
          <w:b/>
          <w:sz w:val="24"/>
          <w:szCs w:val="24"/>
          <w:u w:val="single"/>
        </w:rPr>
        <w:t xml:space="preserve">The current target is </w:t>
      </w:r>
      <w:r w:rsidRPr="00507135">
        <w:rPr>
          <w:b/>
          <w:sz w:val="28"/>
          <w:szCs w:val="24"/>
          <w:u w:val="single"/>
        </w:rPr>
        <w:t>30%.</w:t>
      </w:r>
    </w:p>
    <w:p w14:paraId="03726B4C" w14:textId="77777777" w:rsidR="00B94058" w:rsidRPr="00507135" w:rsidRDefault="00B94058" w:rsidP="000F7657">
      <w:pPr>
        <w:pStyle w:val="ListParagraph"/>
        <w:numPr>
          <w:ilvl w:val="1"/>
          <w:numId w:val="2"/>
        </w:numPr>
        <w:rPr>
          <w:sz w:val="24"/>
          <w:szCs w:val="24"/>
        </w:rPr>
      </w:pPr>
      <w:r w:rsidRPr="00507135">
        <w:rPr>
          <w:sz w:val="24"/>
          <w:szCs w:val="24"/>
        </w:rPr>
        <w:t xml:space="preserve">Equities are restricted to </w:t>
      </w:r>
      <w:r w:rsidR="00B372FF" w:rsidRPr="00507135">
        <w:rPr>
          <w:sz w:val="24"/>
          <w:szCs w:val="24"/>
        </w:rPr>
        <w:t>th</w:t>
      </w:r>
      <w:r w:rsidR="00B372FF">
        <w:rPr>
          <w:sz w:val="24"/>
          <w:szCs w:val="24"/>
        </w:rPr>
        <w:t>ose</w:t>
      </w:r>
      <w:r w:rsidR="00B372FF" w:rsidRPr="00507135">
        <w:rPr>
          <w:sz w:val="24"/>
          <w:szCs w:val="24"/>
        </w:rPr>
        <w:t xml:space="preserve"> </w:t>
      </w:r>
      <w:r w:rsidRPr="00507135">
        <w:rPr>
          <w:sz w:val="24"/>
          <w:szCs w:val="24"/>
        </w:rPr>
        <w:t>listed in the S&amp;P 1500</w:t>
      </w:r>
      <w:r w:rsidR="00A37EB2" w:rsidRPr="00507135">
        <w:rPr>
          <w:sz w:val="24"/>
          <w:szCs w:val="24"/>
        </w:rPr>
        <w:t xml:space="preserve"> &amp; Global 1200</w:t>
      </w:r>
      <w:r w:rsidRPr="00507135">
        <w:rPr>
          <w:sz w:val="24"/>
          <w:szCs w:val="24"/>
        </w:rPr>
        <w:t xml:space="preserve"> ind</w:t>
      </w:r>
      <w:r w:rsidR="00A37EB2" w:rsidRPr="00507135">
        <w:rPr>
          <w:sz w:val="24"/>
          <w:szCs w:val="24"/>
        </w:rPr>
        <w:t>ices</w:t>
      </w:r>
      <w:r w:rsidRPr="00507135">
        <w:rPr>
          <w:sz w:val="24"/>
          <w:szCs w:val="24"/>
        </w:rPr>
        <w:t xml:space="preserve"> and/or those approved by the Investment Manager unless otherwise noted.</w:t>
      </w:r>
    </w:p>
    <w:p w14:paraId="578B01D9" w14:textId="77777777" w:rsidR="00B94058" w:rsidRPr="00507135" w:rsidRDefault="00B94058" w:rsidP="000F7657">
      <w:pPr>
        <w:pStyle w:val="ListParagraph"/>
        <w:numPr>
          <w:ilvl w:val="1"/>
          <w:numId w:val="2"/>
        </w:numPr>
        <w:rPr>
          <w:sz w:val="24"/>
          <w:szCs w:val="24"/>
        </w:rPr>
      </w:pPr>
      <w:r w:rsidRPr="00507135">
        <w:rPr>
          <w:sz w:val="24"/>
          <w:szCs w:val="24"/>
        </w:rPr>
        <w:t>For the purpose of diversification, no single equity should exceed 10% of the total market value of the equity portion of the portfolio, except in unusual circumstances.  The total value of a single company (equity or fixed income) should not exceed 10% of the market value of the entire portfolio.</w:t>
      </w:r>
    </w:p>
    <w:p w14:paraId="0AD2C75D" w14:textId="77777777" w:rsidR="00B94058" w:rsidRPr="00507135" w:rsidRDefault="00B94058" w:rsidP="000F7657">
      <w:pPr>
        <w:pStyle w:val="ListParagraph"/>
        <w:numPr>
          <w:ilvl w:val="1"/>
          <w:numId w:val="2"/>
        </w:numPr>
        <w:rPr>
          <w:sz w:val="24"/>
          <w:szCs w:val="24"/>
        </w:rPr>
      </w:pPr>
      <w:r w:rsidRPr="00507135">
        <w:rPr>
          <w:sz w:val="24"/>
          <w:szCs w:val="24"/>
        </w:rPr>
        <w:t>The equity portfolio shall at all times be well diversified across industry groups as defined by Standard &amp; Poor</w:t>
      </w:r>
      <w:r w:rsidR="00C82BB4">
        <w:rPr>
          <w:sz w:val="24"/>
          <w:szCs w:val="24"/>
        </w:rPr>
        <w:t>’</w:t>
      </w:r>
      <w:r w:rsidRPr="00507135">
        <w:rPr>
          <w:sz w:val="24"/>
          <w:szCs w:val="24"/>
        </w:rPr>
        <w:t xml:space="preserve">s.  Although the </w:t>
      </w:r>
      <w:r w:rsidR="00A37EB2" w:rsidRPr="00507135">
        <w:rPr>
          <w:sz w:val="24"/>
          <w:szCs w:val="24"/>
        </w:rPr>
        <w:t>Trustees prefer</w:t>
      </w:r>
      <w:r w:rsidRPr="00507135">
        <w:rPr>
          <w:sz w:val="24"/>
          <w:szCs w:val="24"/>
        </w:rPr>
        <w:t xml:space="preserve"> not to specify precise weightings, the intent is to comply with common law prudence.</w:t>
      </w:r>
    </w:p>
    <w:p w14:paraId="5336F2FB" w14:textId="77777777" w:rsidR="00507135" w:rsidRPr="00507135" w:rsidRDefault="00507135" w:rsidP="00507135">
      <w:pPr>
        <w:pStyle w:val="ListParagraph"/>
        <w:ind w:left="1440"/>
        <w:rPr>
          <w:sz w:val="24"/>
          <w:szCs w:val="24"/>
        </w:rPr>
      </w:pPr>
    </w:p>
    <w:p w14:paraId="7E1469DC" w14:textId="77777777" w:rsidR="00A37EB2" w:rsidRPr="00507135" w:rsidRDefault="00A37EB2" w:rsidP="00A37EB2">
      <w:pPr>
        <w:pStyle w:val="ListParagraph"/>
        <w:ind w:left="1440"/>
        <w:rPr>
          <w:sz w:val="24"/>
          <w:szCs w:val="24"/>
        </w:rPr>
      </w:pPr>
    </w:p>
    <w:p w14:paraId="702E2597" w14:textId="77777777" w:rsidR="00B94058" w:rsidRPr="00507135" w:rsidRDefault="00B94058" w:rsidP="00B94058">
      <w:pPr>
        <w:pStyle w:val="ListParagraph"/>
        <w:numPr>
          <w:ilvl w:val="0"/>
          <w:numId w:val="2"/>
        </w:numPr>
        <w:rPr>
          <w:b/>
          <w:sz w:val="24"/>
          <w:szCs w:val="24"/>
        </w:rPr>
      </w:pPr>
      <w:r w:rsidRPr="00507135">
        <w:rPr>
          <w:b/>
          <w:sz w:val="24"/>
          <w:szCs w:val="24"/>
        </w:rPr>
        <w:t>Guidelines – Fixed Income and Cash Equivalents:</w:t>
      </w:r>
    </w:p>
    <w:p w14:paraId="3564F7AF" w14:textId="77777777" w:rsidR="00B94058" w:rsidRPr="00507135" w:rsidRDefault="00B94058" w:rsidP="00B94058">
      <w:pPr>
        <w:pStyle w:val="ListParagraph"/>
        <w:numPr>
          <w:ilvl w:val="1"/>
          <w:numId w:val="2"/>
        </w:numPr>
        <w:rPr>
          <w:b/>
          <w:sz w:val="24"/>
          <w:szCs w:val="24"/>
        </w:rPr>
      </w:pPr>
      <w:r w:rsidRPr="00507135">
        <w:rPr>
          <w:b/>
          <w:sz w:val="24"/>
          <w:szCs w:val="24"/>
        </w:rPr>
        <w:t xml:space="preserve">The percentage of the portfolio held in fixed income investments and cash equivalents shall not exceed </w:t>
      </w:r>
      <w:r w:rsidR="00C82BB4">
        <w:rPr>
          <w:b/>
          <w:sz w:val="28"/>
          <w:szCs w:val="24"/>
        </w:rPr>
        <w:t>85</w:t>
      </w:r>
      <w:r w:rsidR="00457D61" w:rsidRPr="00507135">
        <w:rPr>
          <w:b/>
          <w:sz w:val="28"/>
          <w:szCs w:val="24"/>
        </w:rPr>
        <w:t xml:space="preserve">% </w:t>
      </w:r>
      <w:r w:rsidR="00457D61" w:rsidRPr="00507135">
        <w:rPr>
          <w:b/>
          <w:sz w:val="24"/>
          <w:szCs w:val="24"/>
        </w:rPr>
        <w:t xml:space="preserve">nor fall below </w:t>
      </w:r>
      <w:r w:rsidR="00C82BB4">
        <w:rPr>
          <w:b/>
          <w:sz w:val="28"/>
          <w:szCs w:val="24"/>
        </w:rPr>
        <w:t>55</w:t>
      </w:r>
      <w:r w:rsidR="00457D61" w:rsidRPr="00507135">
        <w:rPr>
          <w:b/>
          <w:sz w:val="28"/>
          <w:szCs w:val="24"/>
        </w:rPr>
        <w:t xml:space="preserve">% </w:t>
      </w:r>
      <w:r w:rsidR="00457D61" w:rsidRPr="00507135">
        <w:rPr>
          <w:b/>
          <w:sz w:val="24"/>
          <w:szCs w:val="24"/>
        </w:rPr>
        <w:t xml:space="preserve">of the total market value of the portfolio.  </w:t>
      </w:r>
      <w:r w:rsidR="00457D61" w:rsidRPr="00507135">
        <w:rPr>
          <w:b/>
          <w:sz w:val="24"/>
          <w:szCs w:val="24"/>
          <w:u w:val="single"/>
        </w:rPr>
        <w:t xml:space="preserve">The current target is </w:t>
      </w:r>
      <w:r w:rsidR="00457D61" w:rsidRPr="00507135">
        <w:rPr>
          <w:b/>
          <w:sz w:val="28"/>
          <w:szCs w:val="24"/>
          <w:u w:val="single"/>
        </w:rPr>
        <w:t xml:space="preserve">70% </w:t>
      </w:r>
      <w:r w:rsidR="00457D61" w:rsidRPr="00507135">
        <w:rPr>
          <w:b/>
          <w:sz w:val="24"/>
          <w:szCs w:val="24"/>
          <w:u w:val="single"/>
        </w:rPr>
        <w:t xml:space="preserve">of total assets:  </w:t>
      </w:r>
      <w:r w:rsidR="00457D61" w:rsidRPr="00507135">
        <w:rPr>
          <w:b/>
          <w:sz w:val="28"/>
          <w:szCs w:val="24"/>
          <w:u w:val="single"/>
        </w:rPr>
        <w:t xml:space="preserve">65% </w:t>
      </w:r>
      <w:r w:rsidR="00457D61" w:rsidRPr="00507135">
        <w:rPr>
          <w:b/>
          <w:sz w:val="24"/>
          <w:szCs w:val="24"/>
          <w:u w:val="single"/>
        </w:rPr>
        <w:t xml:space="preserve">fixed income, </w:t>
      </w:r>
      <w:r w:rsidR="00457D61" w:rsidRPr="00507135">
        <w:rPr>
          <w:b/>
          <w:sz w:val="28"/>
          <w:szCs w:val="24"/>
          <w:u w:val="single"/>
        </w:rPr>
        <w:t xml:space="preserve">5% </w:t>
      </w:r>
      <w:r w:rsidR="00457D61" w:rsidRPr="00507135">
        <w:rPr>
          <w:b/>
          <w:sz w:val="24"/>
          <w:szCs w:val="24"/>
          <w:u w:val="single"/>
        </w:rPr>
        <w:t>cash equivalents.</w:t>
      </w:r>
    </w:p>
    <w:p w14:paraId="7D7EC8B7" w14:textId="77777777" w:rsidR="00457D61" w:rsidRPr="00507135" w:rsidRDefault="00457D61" w:rsidP="00B94058">
      <w:pPr>
        <w:pStyle w:val="ListParagraph"/>
        <w:numPr>
          <w:ilvl w:val="1"/>
          <w:numId w:val="2"/>
        </w:numPr>
        <w:rPr>
          <w:sz w:val="24"/>
          <w:szCs w:val="24"/>
        </w:rPr>
      </w:pPr>
      <w:r w:rsidRPr="00507135">
        <w:rPr>
          <w:sz w:val="24"/>
          <w:szCs w:val="24"/>
        </w:rPr>
        <w:t>Convertible bonds and preferred stock shall not exceed 15% of the total market value of the portfolio.</w:t>
      </w:r>
    </w:p>
    <w:p w14:paraId="79A60400" w14:textId="6B804E74" w:rsidR="00A37EB2" w:rsidRPr="00926CE7" w:rsidRDefault="00457D61" w:rsidP="00926CE7">
      <w:pPr>
        <w:pStyle w:val="ListParagraph"/>
        <w:numPr>
          <w:ilvl w:val="1"/>
          <w:numId w:val="2"/>
        </w:numPr>
        <w:rPr>
          <w:sz w:val="24"/>
          <w:szCs w:val="24"/>
        </w:rPr>
      </w:pPr>
      <w:r w:rsidRPr="00507135">
        <w:rPr>
          <w:sz w:val="24"/>
          <w:szCs w:val="24"/>
        </w:rPr>
        <w:t>Corporate bonds shall at the time of purchase be restricted to “investme</w:t>
      </w:r>
      <w:r w:rsidR="004F1E56">
        <w:rPr>
          <w:sz w:val="24"/>
          <w:szCs w:val="24"/>
        </w:rPr>
        <w:t>nt grade” quality or better (BBB</w:t>
      </w:r>
      <w:r w:rsidRPr="00507135">
        <w:rPr>
          <w:sz w:val="24"/>
          <w:szCs w:val="24"/>
        </w:rPr>
        <w:t>) by a national recognized rating agency.</w:t>
      </w:r>
    </w:p>
    <w:p w14:paraId="70F45CF9" w14:textId="77777777" w:rsidR="00507135" w:rsidRDefault="00507135" w:rsidP="00A37EB2">
      <w:pPr>
        <w:pStyle w:val="ListParagraph"/>
        <w:ind w:left="1440"/>
        <w:rPr>
          <w:sz w:val="24"/>
          <w:szCs w:val="24"/>
        </w:rPr>
      </w:pPr>
    </w:p>
    <w:p w14:paraId="699FA8BA" w14:textId="77777777" w:rsidR="00457D61" w:rsidRPr="00507135" w:rsidRDefault="00457D61" w:rsidP="00457D61">
      <w:pPr>
        <w:pStyle w:val="ListParagraph"/>
        <w:numPr>
          <w:ilvl w:val="0"/>
          <w:numId w:val="2"/>
        </w:numPr>
        <w:rPr>
          <w:b/>
          <w:sz w:val="24"/>
          <w:szCs w:val="24"/>
        </w:rPr>
      </w:pPr>
      <w:r w:rsidRPr="00507135">
        <w:rPr>
          <w:b/>
          <w:sz w:val="24"/>
          <w:szCs w:val="24"/>
        </w:rPr>
        <w:t>Restrictions:</w:t>
      </w:r>
    </w:p>
    <w:p w14:paraId="2D18D38B" w14:textId="77777777" w:rsidR="00457D61" w:rsidRPr="00507135" w:rsidRDefault="00457D61" w:rsidP="00457D61">
      <w:pPr>
        <w:pStyle w:val="ListParagraph"/>
        <w:rPr>
          <w:sz w:val="24"/>
          <w:szCs w:val="24"/>
        </w:rPr>
      </w:pPr>
      <w:r w:rsidRPr="00507135">
        <w:rPr>
          <w:sz w:val="24"/>
          <w:szCs w:val="24"/>
        </w:rPr>
        <w:t xml:space="preserve">Unless otherwise approved by the </w:t>
      </w:r>
      <w:r w:rsidR="00A37EB2" w:rsidRPr="00507135">
        <w:rPr>
          <w:sz w:val="24"/>
          <w:szCs w:val="24"/>
        </w:rPr>
        <w:t>Trustees</w:t>
      </w:r>
      <w:r w:rsidRPr="00507135">
        <w:rPr>
          <w:sz w:val="24"/>
          <w:szCs w:val="24"/>
        </w:rPr>
        <w:t>, the Investment Manager is directed not to invest in the following:</w:t>
      </w:r>
    </w:p>
    <w:p w14:paraId="2C784B85" w14:textId="77777777" w:rsidR="00457D61" w:rsidRPr="00507135" w:rsidRDefault="00457D61" w:rsidP="00457D61">
      <w:pPr>
        <w:pStyle w:val="ListParagraph"/>
        <w:numPr>
          <w:ilvl w:val="1"/>
          <w:numId w:val="2"/>
        </w:numPr>
        <w:rPr>
          <w:sz w:val="24"/>
          <w:szCs w:val="24"/>
        </w:rPr>
      </w:pPr>
      <w:r w:rsidRPr="00507135">
        <w:rPr>
          <w:sz w:val="24"/>
          <w:szCs w:val="24"/>
        </w:rPr>
        <w:lastRenderedPageBreak/>
        <w:t>Warrants, commodities, options and futures contracts.</w:t>
      </w:r>
    </w:p>
    <w:p w14:paraId="1DF606DC" w14:textId="77777777" w:rsidR="00457D61" w:rsidRPr="00507135" w:rsidRDefault="00457D61" w:rsidP="00457D61">
      <w:pPr>
        <w:pStyle w:val="ListParagraph"/>
        <w:numPr>
          <w:ilvl w:val="1"/>
          <w:numId w:val="2"/>
        </w:numPr>
        <w:rPr>
          <w:sz w:val="24"/>
          <w:szCs w:val="24"/>
        </w:rPr>
      </w:pPr>
      <w:r w:rsidRPr="00507135">
        <w:rPr>
          <w:sz w:val="24"/>
          <w:szCs w:val="24"/>
        </w:rPr>
        <w:t>Margin purchases or short sales.</w:t>
      </w:r>
    </w:p>
    <w:p w14:paraId="5A595E92" w14:textId="61CD9722" w:rsidR="00712266" w:rsidRPr="00926CE7" w:rsidRDefault="00F578B0" w:rsidP="00926CE7">
      <w:pPr>
        <w:pStyle w:val="ListParagraph"/>
        <w:numPr>
          <w:ilvl w:val="1"/>
          <w:numId w:val="2"/>
        </w:numPr>
        <w:rPr>
          <w:sz w:val="24"/>
          <w:szCs w:val="24"/>
        </w:rPr>
      </w:pPr>
      <w:r w:rsidRPr="00507135">
        <w:rPr>
          <w:sz w:val="24"/>
          <w:szCs w:val="24"/>
        </w:rPr>
        <w:t>Private placements or limited partnerships.</w:t>
      </w:r>
      <w:bookmarkStart w:id="0" w:name="_GoBack"/>
      <w:bookmarkEnd w:id="0"/>
    </w:p>
    <w:p w14:paraId="318DF7E2" w14:textId="77777777" w:rsidR="00712266" w:rsidRPr="00507135" w:rsidRDefault="00712266" w:rsidP="00712266">
      <w:pPr>
        <w:pStyle w:val="ListParagraph"/>
        <w:numPr>
          <w:ilvl w:val="0"/>
          <w:numId w:val="2"/>
        </w:numPr>
        <w:rPr>
          <w:b/>
          <w:sz w:val="24"/>
          <w:szCs w:val="24"/>
        </w:rPr>
      </w:pPr>
      <w:r w:rsidRPr="00507135">
        <w:rPr>
          <w:b/>
          <w:sz w:val="24"/>
          <w:szCs w:val="24"/>
        </w:rPr>
        <w:t>Capital Reserve Funds</w:t>
      </w:r>
    </w:p>
    <w:p w14:paraId="2E6B61B5" w14:textId="77777777" w:rsidR="00712266" w:rsidRPr="00507135" w:rsidRDefault="00712266" w:rsidP="00712266">
      <w:pPr>
        <w:pStyle w:val="ListParagraph"/>
        <w:numPr>
          <w:ilvl w:val="1"/>
          <w:numId w:val="2"/>
        </w:numPr>
        <w:rPr>
          <w:sz w:val="24"/>
          <w:szCs w:val="24"/>
        </w:rPr>
      </w:pPr>
      <w:r w:rsidRPr="00507135">
        <w:rPr>
          <w:sz w:val="24"/>
          <w:szCs w:val="24"/>
        </w:rPr>
        <w:t>The investment objective for these funds is preservation of principal. As su</w:t>
      </w:r>
      <w:r w:rsidR="006B4EA2">
        <w:rPr>
          <w:sz w:val="24"/>
          <w:szCs w:val="24"/>
        </w:rPr>
        <w:t>ch the funds are to be invested</w:t>
      </w:r>
      <w:r w:rsidRPr="00507135">
        <w:rPr>
          <w:sz w:val="24"/>
          <w:szCs w:val="24"/>
        </w:rPr>
        <w:t xml:space="preserve"> according to </w:t>
      </w:r>
      <w:r w:rsidR="00B372FF">
        <w:rPr>
          <w:sz w:val="24"/>
          <w:szCs w:val="24"/>
        </w:rPr>
        <w:t>[</w:t>
      </w:r>
      <w:r w:rsidRPr="00507135">
        <w:rPr>
          <w:sz w:val="24"/>
          <w:szCs w:val="24"/>
        </w:rPr>
        <w:t>RSA 35:9</w:t>
      </w:r>
      <w:r w:rsidR="00B372FF">
        <w:rPr>
          <w:sz w:val="24"/>
          <w:szCs w:val="24"/>
        </w:rPr>
        <w:t>]</w:t>
      </w:r>
      <w:r w:rsidRPr="00507135">
        <w:rPr>
          <w:sz w:val="24"/>
          <w:szCs w:val="24"/>
        </w:rPr>
        <w:t xml:space="preserve"> “</w:t>
      </w:r>
      <w:r w:rsidR="00267478">
        <w:rPr>
          <w:rFonts w:eastAsia="Times New Roman" w:cs="Times New Roman"/>
        </w:rPr>
        <w:t>shall be invested only in deposits in any federally or state-chartered bank or association authorized to engage in a banking business in this state, or in bonds or notes of this state, in such stocks and bonds as are legal for investment by banks and associations chartered by this state to engage in a banking business, or in participation units in the public deposit investment pool established pursuant to RSA 383:22, or in obligations with principal and interest fully guaranteed by the United States government.</w:t>
      </w:r>
      <w:r w:rsidRPr="00507135">
        <w:rPr>
          <w:sz w:val="24"/>
          <w:szCs w:val="24"/>
        </w:rPr>
        <w:t>”</w:t>
      </w:r>
    </w:p>
    <w:p w14:paraId="689036F7" w14:textId="77777777" w:rsidR="00A37EB2" w:rsidRPr="00507135" w:rsidRDefault="00A37EB2" w:rsidP="00A37EB2">
      <w:pPr>
        <w:pStyle w:val="ListParagraph"/>
        <w:ind w:left="1440"/>
        <w:rPr>
          <w:sz w:val="24"/>
          <w:szCs w:val="24"/>
        </w:rPr>
      </w:pPr>
    </w:p>
    <w:p w14:paraId="7F99963E" w14:textId="77777777" w:rsidR="00507135" w:rsidRPr="00507135" w:rsidRDefault="00507135" w:rsidP="00507135">
      <w:pPr>
        <w:pStyle w:val="ListParagraph"/>
        <w:ind w:left="0"/>
        <w:rPr>
          <w:sz w:val="24"/>
          <w:szCs w:val="24"/>
        </w:rPr>
      </w:pPr>
    </w:p>
    <w:p w14:paraId="4225B3AC" w14:textId="77777777" w:rsidR="00507135" w:rsidRPr="00507135" w:rsidRDefault="00507135" w:rsidP="00A37EB2">
      <w:pPr>
        <w:pStyle w:val="ListParagraph"/>
        <w:ind w:left="1440"/>
        <w:rPr>
          <w:sz w:val="24"/>
          <w:szCs w:val="24"/>
        </w:rPr>
      </w:pPr>
    </w:p>
    <w:p w14:paraId="3B6A9DBC" w14:textId="77777777" w:rsidR="00F578B0" w:rsidRPr="00507135" w:rsidRDefault="00F578B0" w:rsidP="00507135">
      <w:pPr>
        <w:pStyle w:val="Title"/>
        <w:jc w:val="center"/>
        <w:rPr>
          <w:sz w:val="24"/>
          <w:szCs w:val="24"/>
        </w:rPr>
      </w:pPr>
      <w:r w:rsidRPr="00507135">
        <w:rPr>
          <w:sz w:val="24"/>
          <w:szCs w:val="24"/>
        </w:rPr>
        <w:t xml:space="preserve">The Investment Policy Statement should be reviewed and approved by the </w:t>
      </w:r>
      <w:r w:rsidR="00A37EB2" w:rsidRPr="00507135">
        <w:rPr>
          <w:sz w:val="24"/>
          <w:szCs w:val="24"/>
        </w:rPr>
        <w:t>Trustees</w:t>
      </w:r>
      <w:r w:rsidRPr="00507135">
        <w:rPr>
          <w:sz w:val="24"/>
          <w:szCs w:val="24"/>
        </w:rPr>
        <w:t xml:space="preserve"> at least annually.</w:t>
      </w:r>
    </w:p>
    <w:p w14:paraId="0431FD62" w14:textId="77777777" w:rsidR="00A37EB2" w:rsidRDefault="00A37EB2" w:rsidP="00F578B0">
      <w:pPr>
        <w:rPr>
          <w:sz w:val="24"/>
          <w:szCs w:val="24"/>
        </w:rPr>
      </w:pPr>
    </w:p>
    <w:p w14:paraId="0CD2420A" w14:textId="77777777" w:rsidR="00507135" w:rsidRPr="00507135" w:rsidRDefault="00507135" w:rsidP="00F578B0">
      <w:pPr>
        <w:rPr>
          <w:sz w:val="24"/>
          <w:szCs w:val="24"/>
        </w:rPr>
      </w:pPr>
    </w:p>
    <w:p w14:paraId="793C3E44" w14:textId="77777777" w:rsidR="00F578B0" w:rsidRPr="00507135" w:rsidRDefault="00F578B0" w:rsidP="00F578B0">
      <w:pPr>
        <w:rPr>
          <w:sz w:val="24"/>
          <w:szCs w:val="24"/>
          <w:u w:val="single"/>
        </w:rPr>
      </w:pPr>
      <w:r w:rsidRPr="00507135">
        <w:rPr>
          <w:sz w:val="24"/>
          <w:szCs w:val="24"/>
          <w:u w:val="single"/>
        </w:rPr>
        <w:t xml:space="preserve">Approved by the </w:t>
      </w:r>
      <w:r w:rsidR="00A37EB2" w:rsidRPr="00507135">
        <w:rPr>
          <w:sz w:val="24"/>
          <w:szCs w:val="24"/>
          <w:u w:val="single"/>
        </w:rPr>
        <w:t>Trustees</w:t>
      </w:r>
      <w:r w:rsidRPr="00507135">
        <w:rPr>
          <w:sz w:val="24"/>
          <w:szCs w:val="24"/>
          <w:u w:val="single"/>
        </w:rPr>
        <w:t>:</w:t>
      </w:r>
    </w:p>
    <w:p w14:paraId="172D9F3B" w14:textId="77777777" w:rsidR="00F578B0" w:rsidRPr="00507135" w:rsidRDefault="00F578B0" w:rsidP="00F578B0">
      <w:pPr>
        <w:rPr>
          <w:sz w:val="24"/>
          <w:szCs w:val="24"/>
        </w:rPr>
      </w:pPr>
    </w:p>
    <w:p w14:paraId="4C425CE5" w14:textId="77777777" w:rsidR="00F578B0" w:rsidRPr="00507135" w:rsidRDefault="00F578B0" w:rsidP="00F578B0">
      <w:pPr>
        <w:spacing w:after="0"/>
        <w:rPr>
          <w:sz w:val="24"/>
          <w:szCs w:val="24"/>
        </w:rPr>
      </w:pPr>
      <w:r w:rsidRPr="00507135">
        <w:rPr>
          <w:sz w:val="24"/>
          <w:szCs w:val="24"/>
        </w:rPr>
        <w:t>__________________________________</w:t>
      </w:r>
      <w:r w:rsidRPr="00507135">
        <w:rPr>
          <w:sz w:val="24"/>
          <w:szCs w:val="24"/>
        </w:rPr>
        <w:tab/>
        <w:t>_________________</w:t>
      </w:r>
    </w:p>
    <w:p w14:paraId="28F29B74" w14:textId="77777777" w:rsidR="00F578B0" w:rsidRPr="00507135" w:rsidRDefault="00F578B0" w:rsidP="00F578B0">
      <w:pPr>
        <w:spacing w:after="0"/>
        <w:rPr>
          <w:sz w:val="24"/>
          <w:szCs w:val="24"/>
        </w:rPr>
      </w:pPr>
      <w:r w:rsidRPr="00507135">
        <w:rPr>
          <w:sz w:val="24"/>
          <w:szCs w:val="24"/>
        </w:rPr>
        <w:t>Trustee</w:t>
      </w:r>
      <w:r w:rsidRPr="00507135">
        <w:rPr>
          <w:sz w:val="24"/>
          <w:szCs w:val="24"/>
        </w:rPr>
        <w:tab/>
      </w:r>
      <w:r w:rsidRPr="00507135">
        <w:rPr>
          <w:sz w:val="24"/>
          <w:szCs w:val="24"/>
        </w:rPr>
        <w:tab/>
      </w:r>
      <w:r w:rsidRPr="00507135">
        <w:rPr>
          <w:sz w:val="24"/>
          <w:szCs w:val="24"/>
        </w:rPr>
        <w:tab/>
      </w:r>
      <w:r w:rsidRPr="00507135">
        <w:rPr>
          <w:sz w:val="24"/>
          <w:szCs w:val="24"/>
        </w:rPr>
        <w:tab/>
      </w:r>
      <w:r w:rsidRPr="00507135">
        <w:rPr>
          <w:sz w:val="24"/>
          <w:szCs w:val="24"/>
        </w:rPr>
        <w:tab/>
      </w:r>
      <w:r w:rsidRPr="00507135">
        <w:rPr>
          <w:sz w:val="24"/>
          <w:szCs w:val="24"/>
        </w:rPr>
        <w:tab/>
        <w:t>Date</w:t>
      </w:r>
    </w:p>
    <w:p w14:paraId="7E4277F2" w14:textId="77777777" w:rsidR="00F578B0" w:rsidRPr="00507135" w:rsidRDefault="00F578B0" w:rsidP="00F578B0">
      <w:pPr>
        <w:spacing w:after="0"/>
        <w:rPr>
          <w:sz w:val="24"/>
          <w:szCs w:val="24"/>
        </w:rPr>
      </w:pPr>
    </w:p>
    <w:p w14:paraId="570071B4" w14:textId="77777777" w:rsidR="00F578B0" w:rsidRPr="00507135" w:rsidRDefault="00F578B0" w:rsidP="00F578B0">
      <w:pPr>
        <w:spacing w:after="0"/>
        <w:rPr>
          <w:sz w:val="24"/>
          <w:szCs w:val="24"/>
        </w:rPr>
      </w:pPr>
      <w:r w:rsidRPr="00507135">
        <w:rPr>
          <w:sz w:val="24"/>
          <w:szCs w:val="24"/>
        </w:rPr>
        <w:t>__________________________________</w:t>
      </w:r>
      <w:r w:rsidRPr="00507135">
        <w:rPr>
          <w:sz w:val="24"/>
          <w:szCs w:val="24"/>
        </w:rPr>
        <w:tab/>
        <w:t>_________________</w:t>
      </w:r>
    </w:p>
    <w:p w14:paraId="4716EAB8" w14:textId="77777777" w:rsidR="00F578B0" w:rsidRPr="00507135" w:rsidRDefault="00F578B0" w:rsidP="00F578B0">
      <w:pPr>
        <w:spacing w:after="0"/>
        <w:rPr>
          <w:sz w:val="24"/>
          <w:szCs w:val="24"/>
        </w:rPr>
      </w:pPr>
      <w:r w:rsidRPr="00507135">
        <w:rPr>
          <w:sz w:val="24"/>
          <w:szCs w:val="24"/>
        </w:rPr>
        <w:t>Trustee</w:t>
      </w:r>
      <w:r w:rsidRPr="00507135">
        <w:rPr>
          <w:sz w:val="24"/>
          <w:szCs w:val="24"/>
        </w:rPr>
        <w:tab/>
      </w:r>
      <w:r w:rsidRPr="00507135">
        <w:rPr>
          <w:sz w:val="24"/>
          <w:szCs w:val="24"/>
        </w:rPr>
        <w:tab/>
      </w:r>
      <w:r w:rsidRPr="00507135">
        <w:rPr>
          <w:sz w:val="24"/>
          <w:szCs w:val="24"/>
        </w:rPr>
        <w:tab/>
      </w:r>
      <w:r w:rsidRPr="00507135">
        <w:rPr>
          <w:sz w:val="24"/>
          <w:szCs w:val="24"/>
        </w:rPr>
        <w:tab/>
      </w:r>
      <w:r w:rsidRPr="00507135">
        <w:rPr>
          <w:sz w:val="24"/>
          <w:szCs w:val="24"/>
        </w:rPr>
        <w:tab/>
      </w:r>
      <w:r w:rsidRPr="00507135">
        <w:rPr>
          <w:sz w:val="24"/>
          <w:szCs w:val="24"/>
        </w:rPr>
        <w:tab/>
        <w:t>Date</w:t>
      </w:r>
    </w:p>
    <w:p w14:paraId="55377700" w14:textId="77777777" w:rsidR="00F578B0" w:rsidRPr="00507135" w:rsidRDefault="00F578B0" w:rsidP="00F578B0">
      <w:pPr>
        <w:spacing w:after="0"/>
        <w:rPr>
          <w:sz w:val="24"/>
          <w:szCs w:val="24"/>
        </w:rPr>
      </w:pPr>
    </w:p>
    <w:p w14:paraId="4BDD12E4" w14:textId="77777777" w:rsidR="00F578B0" w:rsidRPr="00507135" w:rsidRDefault="00F578B0" w:rsidP="00F578B0">
      <w:pPr>
        <w:spacing w:after="0"/>
        <w:rPr>
          <w:sz w:val="24"/>
          <w:szCs w:val="24"/>
        </w:rPr>
      </w:pPr>
      <w:r w:rsidRPr="00507135">
        <w:rPr>
          <w:sz w:val="24"/>
          <w:szCs w:val="24"/>
        </w:rPr>
        <w:t>__________________________________</w:t>
      </w:r>
      <w:r w:rsidRPr="00507135">
        <w:rPr>
          <w:sz w:val="24"/>
          <w:szCs w:val="24"/>
        </w:rPr>
        <w:tab/>
        <w:t>_________________</w:t>
      </w:r>
    </w:p>
    <w:p w14:paraId="7B2A9123" w14:textId="77777777" w:rsidR="000F7657" w:rsidRPr="00507135" w:rsidRDefault="00F578B0" w:rsidP="00F578B0">
      <w:pPr>
        <w:spacing w:after="0"/>
        <w:rPr>
          <w:sz w:val="24"/>
          <w:szCs w:val="24"/>
        </w:rPr>
      </w:pPr>
      <w:r w:rsidRPr="00507135">
        <w:rPr>
          <w:sz w:val="24"/>
          <w:szCs w:val="24"/>
        </w:rPr>
        <w:t>Trustee</w:t>
      </w:r>
      <w:r w:rsidRPr="00507135">
        <w:rPr>
          <w:sz w:val="24"/>
          <w:szCs w:val="24"/>
        </w:rPr>
        <w:tab/>
      </w:r>
      <w:r w:rsidRPr="00507135">
        <w:rPr>
          <w:sz w:val="24"/>
          <w:szCs w:val="24"/>
        </w:rPr>
        <w:tab/>
      </w:r>
      <w:r w:rsidRPr="00507135">
        <w:rPr>
          <w:sz w:val="24"/>
          <w:szCs w:val="24"/>
        </w:rPr>
        <w:tab/>
      </w:r>
      <w:r w:rsidRPr="00507135">
        <w:rPr>
          <w:sz w:val="24"/>
          <w:szCs w:val="24"/>
        </w:rPr>
        <w:tab/>
      </w:r>
      <w:r w:rsidRPr="00507135">
        <w:rPr>
          <w:sz w:val="24"/>
          <w:szCs w:val="24"/>
        </w:rPr>
        <w:tab/>
      </w:r>
      <w:r w:rsidRPr="00507135">
        <w:rPr>
          <w:sz w:val="24"/>
          <w:szCs w:val="24"/>
        </w:rPr>
        <w:tab/>
        <w:t>Date</w:t>
      </w:r>
    </w:p>
    <w:sectPr w:rsidR="000F7657" w:rsidRPr="00507135" w:rsidSect="007C3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625BA"/>
    <w:multiLevelType w:val="hybridMultilevel"/>
    <w:tmpl w:val="50D8D2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70126"/>
    <w:multiLevelType w:val="hybridMultilevel"/>
    <w:tmpl w:val="6F662C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DF373A"/>
    <w:multiLevelType w:val="hybridMultilevel"/>
    <w:tmpl w:val="F8208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46743F"/>
    <w:multiLevelType w:val="hybridMultilevel"/>
    <w:tmpl w:val="D082A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B7767"/>
    <w:multiLevelType w:val="hybridMultilevel"/>
    <w:tmpl w:val="DCAE8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F05BC6"/>
    <w:multiLevelType w:val="hybridMultilevel"/>
    <w:tmpl w:val="261EB4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B5971A9"/>
    <w:multiLevelType w:val="hybridMultilevel"/>
    <w:tmpl w:val="7A6039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0"/>
  </w:num>
  <w:num w:numId="3">
    <w:abstractNumId w:val="3"/>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BE1"/>
    <w:rsid w:val="000F7657"/>
    <w:rsid w:val="001122BF"/>
    <w:rsid w:val="00124CA3"/>
    <w:rsid w:val="001B56AE"/>
    <w:rsid w:val="00267478"/>
    <w:rsid w:val="00457D61"/>
    <w:rsid w:val="004F1E56"/>
    <w:rsid w:val="00507135"/>
    <w:rsid w:val="00651AE1"/>
    <w:rsid w:val="006A1D06"/>
    <w:rsid w:val="006B4EA2"/>
    <w:rsid w:val="00712266"/>
    <w:rsid w:val="0071596A"/>
    <w:rsid w:val="0074577E"/>
    <w:rsid w:val="007C3FEA"/>
    <w:rsid w:val="00821763"/>
    <w:rsid w:val="00926CE7"/>
    <w:rsid w:val="00974BE1"/>
    <w:rsid w:val="00A36C5D"/>
    <w:rsid w:val="00A37EB2"/>
    <w:rsid w:val="00B372FF"/>
    <w:rsid w:val="00B94058"/>
    <w:rsid w:val="00C82BB4"/>
    <w:rsid w:val="00CC380E"/>
    <w:rsid w:val="00E34072"/>
    <w:rsid w:val="00E46DE9"/>
    <w:rsid w:val="00F578B0"/>
    <w:rsid w:val="00F87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3B7699"/>
  <w15:docId w15:val="{5E316BCA-BB49-6E44-8288-36CF6F9B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3FEA"/>
  </w:style>
  <w:style w:type="paragraph" w:styleId="Heading1">
    <w:name w:val="heading 1"/>
    <w:basedOn w:val="Normal"/>
    <w:next w:val="Normal"/>
    <w:link w:val="Heading1Char"/>
    <w:uiPriority w:val="9"/>
    <w:qFormat/>
    <w:rsid w:val="00F87F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BE1"/>
    <w:pPr>
      <w:ind w:left="720"/>
      <w:contextualSpacing/>
    </w:pPr>
  </w:style>
  <w:style w:type="paragraph" w:styleId="Title">
    <w:name w:val="Title"/>
    <w:basedOn w:val="Normal"/>
    <w:next w:val="Normal"/>
    <w:link w:val="TitleChar"/>
    <w:uiPriority w:val="10"/>
    <w:qFormat/>
    <w:rsid w:val="00F87F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7FF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87FF2"/>
    <w:rPr>
      <w:rFonts w:asciiTheme="majorHAnsi" w:eastAsiaTheme="majorEastAsia" w:hAnsiTheme="majorHAnsi" w:cstheme="majorBidi"/>
      <w:b/>
      <w:bCs/>
      <w:color w:val="365F91" w:themeColor="accent1" w:themeShade="BF"/>
      <w:sz w:val="28"/>
      <w:szCs w:val="28"/>
    </w:rPr>
  </w:style>
  <w:style w:type="character" w:styleId="IntenseReference">
    <w:name w:val="Intense Reference"/>
    <w:basedOn w:val="DefaultParagraphFont"/>
    <w:uiPriority w:val="32"/>
    <w:qFormat/>
    <w:rsid w:val="00F87FF2"/>
    <w:rPr>
      <w:b/>
      <w:bCs/>
      <w:smallCaps/>
      <w:color w:val="C0504D" w:themeColor="accent2"/>
      <w:spacing w:val="5"/>
      <w:u w:val="single"/>
    </w:rPr>
  </w:style>
  <w:style w:type="paragraph" w:styleId="BalloonText">
    <w:name w:val="Balloon Text"/>
    <w:basedOn w:val="Normal"/>
    <w:link w:val="BalloonTextChar"/>
    <w:uiPriority w:val="99"/>
    <w:semiHidden/>
    <w:unhideWhenUsed/>
    <w:rsid w:val="0026747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6747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Sanford, Bryan</dc:creator>
  <cp:lastModifiedBy>Richard Nordin</cp:lastModifiedBy>
  <cp:revision>2</cp:revision>
  <cp:lastPrinted>2014-08-15T16:03:00Z</cp:lastPrinted>
  <dcterms:created xsi:type="dcterms:W3CDTF">2019-02-14T16:14:00Z</dcterms:created>
  <dcterms:modified xsi:type="dcterms:W3CDTF">2019-02-14T16:14:00Z</dcterms:modified>
</cp:coreProperties>
</file>